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Приложение 1</w:t>
      </w:r>
      <w:r w:rsidRPr="00D24182">
        <w:rPr>
          <w:color w:val="000000"/>
          <w:sz w:val="26"/>
          <w:szCs w:val="26"/>
        </w:rPr>
        <w:tab/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к решению Совета МОГО «Ухта»</w:t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  <w:r w:rsidRPr="00D24182">
        <w:rPr>
          <w:color w:val="000000"/>
          <w:sz w:val="26"/>
          <w:szCs w:val="26"/>
        </w:rPr>
        <w:t>«О бюджете МОГО «Ухта» на 2021 год и плановый период 2022 и 2023 годов»</w:t>
      </w:r>
    </w:p>
    <w:p w:rsidR="00D24182" w:rsidRPr="00D24182" w:rsidRDefault="00D24182" w:rsidP="00D24182">
      <w:pPr>
        <w:ind w:left="4678"/>
        <w:rPr>
          <w:color w:val="000000"/>
          <w:sz w:val="26"/>
          <w:szCs w:val="26"/>
        </w:rPr>
      </w:pP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РАСПРЕДЕЛЕНИЕ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БЮДЖЕТНЫХ АССИГНОВАНИЙ ПО ЦЕЛЕВЫМ СТАТЬЯМ (МУНИЦИПАЛЬНЫМ ПРОГРАММАМ МОГО «УХТА» И НЕПРОГРАММНЫМ НАПРАВЛЕНИЯМ ДЕЯТЕЛЬНОСТИ), ГРУППАМ ВИДОВ РАСХОДОВ КЛАССИФИКАЦИИ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РАСХОДОВ БЮДЖЕТОВ НА 2021 ГОД И ПЛАНОВЫЙ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24182">
        <w:rPr>
          <w:b/>
          <w:bCs/>
          <w:color w:val="000000"/>
          <w:sz w:val="26"/>
          <w:szCs w:val="26"/>
        </w:rPr>
        <w:t>ПЕРИОД 2022</w:t>
      </w:r>
      <w:proofErr w:type="gramStart"/>
      <w:r w:rsidRPr="00D24182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D24182">
        <w:rPr>
          <w:b/>
          <w:bCs/>
          <w:color w:val="000000"/>
          <w:sz w:val="26"/>
          <w:szCs w:val="26"/>
        </w:rPr>
        <w:t xml:space="preserve"> 2023 ГОДОВ</w:t>
      </w:r>
    </w:p>
    <w:p w:rsidR="00D24182" w:rsidRDefault="00D24182" w:rsidP="00D24182">
      <w:pPr>
        <w:ind w:left="4678"/>
      </w:pPr>
    </w:p>
    <w:tbl>
      <w:tblPr>
        <w:tblW w:w="10207" w:type="dxa"/>
        <w:tblInd w:w="-416" w:type="dxa"/>
        <w:tblLayout w:type="fixed"/>
        <w:tblLook w:val="0020" w:firstRow="1" w:lastRow="0" w:firstColumn="0" w:lastColumn="0" w:noHBand="0" w:noVBand="0"/>
      </w:tblPr>
      <w:tblGrid>
        <w:gridCol w:w="3261"/>
        <w:gridCol w:w="1276"/>
        <w:gridCol w:w="709"/>
        <w:gridCol w:w="1559"/>
        <w:gridCol w:w="1701"/>
        <w:gridCol w:w="1701"/>
      </w:tblGrid>
      <w:tr w:rsidR="00D24182" w:rsidRPr="009F0BBC" w:rsidTr="00875FB9">
        <w:trPr>
          <w:cantSplit/>
          <w:trHeight w:val="350"/>
          <w:tblHeader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D24182" w:rsidRPr="009F0BBC" w:rsidTr="00875FB9">
        <w:trPr>
          <w:cantSplit/>
          <w:trHeight w:val="396"/>
          <w:tblHeader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bCs/>
                <w:color w:val="000000"/>
                <w:sz w:val="20"/>
              </w:rPr>
              <w:t>2023 год</w:t>
            </w:r>
          </w:p>
        </w:tc>
      </w:tr>
      <w:tr w:rsidR="00D24182" w:rsidRPr="009F0BBC" w:rsidTr="00875FB9">
        <w:trPr>
          <w:cantSplit/>
          <w:trHeight w:val="253"/>
          <w:tblHeader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9F0BBC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0BBC">
              <w:rPr>
                <w:color w:val="000000"/>
                <w:sz w:val="20"/>
              </w:rPr>
              <w:t>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131 473 633,85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126 838 913,69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132 893 600,59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 "Электронный муниципалитет"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7 504 016,05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1 399 267,84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1 365 000,00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1 399 267,84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1 365 000,00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1 399 267,84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1 365 000,00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технической защиты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104 748,21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технической защиты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104 748,21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104 748,21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01 1 31 10000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47 301 155,52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72 174 143,00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74 514 037,00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13 387 612,50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38 829 000,00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39 013 000,00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13 387 612,50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38 829 000,00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39 013 000,00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13 387 612,50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38 829 000,00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39 013 000,00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33 913 543,02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33 345 143,00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35 501 037,00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27 776 905,80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26 018 556,00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28 009 899,00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25 486 977,20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24 852 869,00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25 230 982,00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2 214 465,80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1 156 637,00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2 769 867,00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66 412,80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9 050,00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6 136 637,22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7 326 587,00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7 491 138,00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5 836 112,00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7 074 016,00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7 082 566,00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300 525,22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252 571,00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408 572,00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76 668 462,28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47 664 770,69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51 379 563,59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221 235,54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221 235,54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221 235,54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27 023 511,08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2 482 036,69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27 023 511,08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2 482 036,69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26 738 891,49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2 050 036,69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284 619,59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432 000,00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618 873,80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618 873,80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618 873,80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251 512,29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251 512,29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251 512,29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47 546 329,57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44 041 164,00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46 713 864,00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20 333 993,33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19 327 933,00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20 944 933,00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15 704 371,63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16 849 933,00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16 849 933,00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3 062 657,48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1 659 000,00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2 826 000,00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1 566 964,22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819 000,00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1 269 000,00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27 212 336,24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24 713 231,00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25 768 931,00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24 815 070,44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23 660 731,00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23 660 731,00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2 397 265,80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1 052 500,00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2 108 200,00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741 570,00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815 699,59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L5110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815 699,59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L5110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815 699,59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S2080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741 570,00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01 4 25 S2080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741 570,00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02 0 24 00000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02 0 24 10000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02 0 24 10000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47 388 151,27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47 587 898,00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48 787 898,00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1 241 333,33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1 241 333,33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1 241 333,33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841 000,00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1 180 000,00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841 000,00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1 180 000,00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730 000,00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1 296 293,13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1 296 293,13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1 296 293,13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11 169 878,14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11 169 878,14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11 169 878,14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12 700 000,00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32 839 646,67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30 707 898,00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31 407 898,00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32 839 646,67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30 707 898,00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31 407 898,00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29 351 498,00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28 772 898,00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29 032 898,00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3 358 355,67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1 838 000,00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2 278 000,00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129 793,00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11 006 358,59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17 087 236,00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15 187 236,00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4 425 288,20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3 902 214,74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4 722 214,74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534 378,73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1 245 200,00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224 632,73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845 200,00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309 746,00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S2270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3 890 909,47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3 477 014,74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3 477 014,74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11 S2270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3 890 909,47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3 477 014,74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3 477 014,74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6 581 070,39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13 185 021,26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10 465 021,26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3 427 361,73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10 031 312,60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7 311 312,60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3 427 361,73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10 031 312,60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7 311 312,60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S2210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S2210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211 789,47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S2220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04 0 32 S2220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2 941 919,19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414 642 946,44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311 729 171,68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308 206 440,47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10 297 310,00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10 297 310,00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3 448 710,00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6 848 600,00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46 654 120,00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46 563 976,00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46 563 976,00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05 0 12 51350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1 714 068,00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05 0 12 51350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1 714 068,00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05 0 12 51760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1 714 068,00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05 0 12 51760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1 714 068,00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1 668 996,00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18 802 794,57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18 541 595,33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18 541 595,33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18 802 794,57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18 541 595,33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18 541 595,33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15 650,00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15 650,00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15 650,00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718 296,00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718 296,00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718 296,00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705 171,00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705 171,00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705 171,00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13 125,00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13 125,00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13 125,00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82 100,00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78 350,00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78 350,00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78 350,00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3 750,00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23 606 393,43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23 867 592,67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23 867 592,67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12 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23 606 393,43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23 867 592,67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23 867 592,67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38 943 240,00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13 L4970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38 943 240,00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13 L4970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38 943 240,00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18 177 000,00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21 564 850,09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10 229 565,00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6 053 391,00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21 564 850,09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10 229 565,00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6 053 391,00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21 264 850,09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9 729 565,00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5 553 391,00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FB4D64">
              <w:rPr>
                <w:color w:val="000000"/>
                <w:sz w:val="20"/>
              </w:rPr>
              <w:t>ресурсоснабжающих</w:t>
            </w:r>
            <w:proofErr w:type="spellEnd"/>
            <w:r w:rsidRPr="00FB4D64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38 383,87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FB4D64">
              <w:rPr>
                <w:color w:val="000000"/>
                <w:sz w:val="20"/>
              </w:rPr>
              <w:t>ресурсоснабжающих</w:t>
            </w:r>
            <w:proofErr w:type="spellEnd"/>
            <w:r w:rsidRPr="00FB4D64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38 383,87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38 383,87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230 253,53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2 856 500,00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230 253,53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2 856 500,00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230 253,53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2 856 500,00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552 277,54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552 277,54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267 058,20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285 219,34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3 675 060,57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2 657 149,00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2 657 149,00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2 827 709,07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2 657 149,00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2 657 149,00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2 797 209,07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2 607 149,00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2 607 149,00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847 351,50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05 0 33 71060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847 351,50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54 525 787,68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52 877 708,00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53 961 135,00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6 373 095,79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7 121 975,00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7 178 007,00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6 350 335,02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7 071 123,00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7 117 155,00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22 760,77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50 852,00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60 852,00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48 067 100,89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45 670 142,00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46 697 537,00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41 722 699,53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39 778 686,00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41 202 081,00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5 221 628,48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4 866 456,00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4 470 456,00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45 135,00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1 077 637,88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 xml:space="preserve">Осуществление государственного полномочия Республики Коми </w:t>
            </w:r>
            <w:proofErr w:type="gramStart"/>
            <w:r w:rsidRPr="00FB4D64">
              <w:rPr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85 591,00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85 591,00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85 591,00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80 591,00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80 591,00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80 591,00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232 361 663,16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168 217 273,68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170 643 789,47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52430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127 521 115,79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167 788 705,26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170 278 452,63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52430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127 521 115,79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167 788 705,26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170 278 452,63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S2820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104 840 547,37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428 568,42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365 336,84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05 0 F5 S2820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104 840 547,37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428 568,42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365 336,84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2 777 275 279,27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2 367 213 744,00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2 427 619 277,00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1 278 515 038,28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1 090 407 879,00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1 110 670 106,00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11 502 756,05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11 502 756,05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11 502 756,05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10 837 066,64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5 331 775,52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5 331 775,52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5 505 291,12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5 505 291,12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3 273 295,18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3 273 295,18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3 273 295,18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3 449 806,00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1 227 246 418,01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1 051 137 443,00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1 071 399 670,00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160 956 403,52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109 371 943,00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129 634 170,00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160 956 403,52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109 371 943,00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129 634 170,00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941 917 400,00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941 765 500,00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941 765 500,00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941 917 400,00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941 765 500,00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941 765 500,00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124 372 614,49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124 372 614,49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7 076 319,40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7 076 319,40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2 068 000,00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8 439 000,00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5 008 319,40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944 881,00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944 881,00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944 881,00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3 244 752,00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07 1 24 73190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3 244 752,00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07 1 24 73190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3 244 752,00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3 475 680,00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11 245 000,00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07 1 31 73020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11 245 000,00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07 1 31 73020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11 245 000,00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18 961 400,00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4D64">
              <w:rPr>
                <w:color w:val="000000"/>
                <w:sz w:val="20"/>
              </w:rPr>
              <w:t>обучающимся</w:t>
            </w:r>
            <w:proofErr w:type="gramEnd"/>
            <w:r w:rsidRPr="00FB4D64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4D64">
              <w:rPr>
                <w:color w:val="000000"/>
                <w:sz w:val="20"/>
              </w:rPr>
              <w:t>обучающимся</w:t>
            </w:r>
            <w:proofErr w:type="gramEnd"/>
            <w:r w:rsidRPr="00FB4D64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07 1 32 10000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3 944 550,00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1 293 507 011,14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1 101 039 004,32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1 139 038 230,41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17 112 954,47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17 112 954,47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17 112 954,47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47 782 552,08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1 527 176,52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1 527 176,52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46 255 375,56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46 255 375,56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15 083 111,12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2 722 856,00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2 722 856,00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2 722 856,00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2 741 540,00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1 064 675 446,57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918 814 558,00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937 251 835,00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127 646 765,11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92 182 858,00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110 620 135,00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127 646 765,11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92 182 858,00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110 620 135,00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826 631 700,00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110 396 981,46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110 396 981,46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940 139,00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940 139,00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940 139,00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1 281 800,00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93 060,00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93 060,00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93 060,00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105 602,00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4 012 804,00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07 2 25 73190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4 012 804,00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07 2 25 73190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4 012 804,00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4 075 176,00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4D64">
              <w:rPr>
                <w:color w:val="000000"/>
                <w:sz w:val="20"/>
              </w:rPr>
              <w:t>обучающимся</w:t>
            </w:r>
            <w:proofErr w:type="gramEnd"/>
            <w:r w:rsidRPr="00FB4D64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FB4D64">
              <w:rPr>
                <w:color w:val="000000"/>
                <w:sz w:val="20"/>
              </w:rPr>
              <w:t>обучающимся</w:t>
            </w:r>
            <w:proofErr w:type="gramEnd"/>
            <w:r w:rsidRPr="00FB4D64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6 808 398,00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71 670 101,02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74 821 919,20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72 590 909,10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B4D64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27 L3040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71 670 101,02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74 821 919,20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72 590 909,10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27 L3040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71 670 101,02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74 821 919,20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72 590 909,10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07 2 28 00000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07 2 28 53031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07 2 28 53031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76 406 900,00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E1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21 792 959,19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E1 51730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21 792 959,19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2 E1 51730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21 792 959,19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133 353 100,85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100 932 230,68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102 086 451,59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24 529 438,81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24 529 438,81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24 529 438,81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228 864,00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13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228 864,00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13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228 864,00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230 434,00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57 784 171,40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63 648 275,00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64 839 813,00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41 815 686,55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47 679 790,15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48 871 328,15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41 815 686,55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47 679 790,15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48 871 328,15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15 968 484,85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07 3 22 73190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07 3 22 73190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55 944,00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FB4D64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FB4D64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11 504 800,00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11 504 800,00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11 504 800,00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1 504 400,00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12 473 848,23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12 868 890,68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12 471 073,59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4 312 181,56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4 707 224,01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4 309 406,92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643 384,00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4 707 224,01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4 309 406,92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3 668 797,56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S2040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41 S2040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8 161 666,67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15 022 467,41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15 022 467,41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07 3 42 10000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15 022 467,41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8 637 387,00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8 524 287,00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8 634 787,00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8 637 387,00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8 524 287,00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8 634 787,00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8 637 387,00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8 524 287,00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8 634 787,00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949 180,00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949 180,00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949 180,00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S2Я00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3 53 S2Я00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71 900 129,00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74 834 630,00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75 824 489,00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71 900 129,00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74 834 630,00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75 824 489,00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21 002 907,67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21 789 250,00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21 888 469,00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19 941 801,17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20 015 749,00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20 014 969,00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1 061 106,50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1 708 501,00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1 808 500,00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12 803 564,51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13 383 468,00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13 733 468,00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11 639 259,08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11 835 568,00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11 835 568,00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1 061 073,49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1 465 900,00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1 815 900,00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77 404,10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25 827,84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82 000,00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38 093 656,82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39 661 912,00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40 202 552,00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35 556 016,82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35 317 112,00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35 307 752,00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2 487 640,00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4 147 800,00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4 697 800,00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197 000,00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"Культура"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325 870 997,12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292 359 706,39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298 770 644,39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4 124 562,00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4 124 562,00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4 124 562,00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5 772 109,18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3 813 322,59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3 813 322,59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L4670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1 505 598,89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L4670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1 505 598,89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S2150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453 187,70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12 S2150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453 187,70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13 S2840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13 S2840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183 342,23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216 515 981,16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212 546 644,16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218 757 582,16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139 633 455,91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135 664 118,91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141 875 056,91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139 633 455,91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135 664 118,91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141 875 056,91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59 091 414,14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17 791 111,11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54 505 104,50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51 890 475,00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52 090 475,00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42 465 508,54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39 850 879,04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40 050 879,04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42 465 508,54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39 850 879,04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40 050 879,04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32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12 039 595,96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6 490 760,61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6 490 760,61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6 490 760,61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894 400,00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447 200,00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S2470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894 400,00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34 S2470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894 400,00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413 105,47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413 105,47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413 105,47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464 648,00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08 0 36 73190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08 0 36 73190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173 200,00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558 998,82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37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558 998,82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37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558 998,82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1 763 819,60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S2500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1 734 619,60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39 S2500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1 734 619,60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24 635 517,04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26 154 197,00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26 154 197,00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3 486 894,76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3 259 491,00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3 259 491,00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3 170 352,72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3 000 150,00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3 000 150,00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242 841,00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259 341,00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259 341,00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72 585,00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1 116,04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7 535 003,11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8 755 129,00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8 755 129,00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6 438 562,11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7 743 031,00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7 743 031,00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1 095 171,00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1 010 898,00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1 010 898,00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1 200,00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13 613 619,17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14 139 577,00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14 139 577,00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11 482 469,86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11 919 569,00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11 919 569,00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2 131 149,31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2 220 008,00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2 220 008,00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9 846 796,51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Создание виртуальных концертных залов, создание модельных муниципальных библиотек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54540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54540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Поддержка отрасли 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55191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4 846 796,51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08 0 A1 55191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4 846 796,51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2 579 472,58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2 250 000,00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383 723,76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383 723,76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383 723,76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737 276,24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737 276,24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59 276,24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1 458 472,58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21 S2430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1 458 472,58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09 0 21 S2430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1 458 472,58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489 634 262,38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306 210 319,00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368 594 423,00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403 028 948,23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250 573 882,00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304 872 008,00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399 524 703,23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247 069 637,00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301 367 763,00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22 789 962,95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40 132 658,00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40 297 638,00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376 734 740,28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206 936 979,00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261 070 125,00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10 0 11 73120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3 504 245,00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1 607 375,67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470 700,00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161 700,00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309 000,00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S2300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1 136 675,67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S2300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331 094,45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22 S2300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805 581,22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20 893 946,21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20 893 946,21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20 493 946,21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64 103 992,27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55 636 437,00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63 722 415,00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56 128 000,00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55 636 437,00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63 722 415,00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26 717 738,27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41 636 437,00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43 722 415,00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29 410 261,73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99000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7 975 992,27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 0 F2 99000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7 975 992,27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224 623 781,45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429 453 165,27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205 911 347,27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4 331 396,09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капитального и текущего ремонта спортивных сооружений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4 331 396,09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4 331 396,09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164 262 695,06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149 639 035,00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157 760 407,00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144 387 038,49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129 763 378,43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137 884 750,43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144 387 038,49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129 763 378,43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137 884 750,43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13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19 875 656,57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199 988,20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199 988,20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2 801,00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197 187,20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40 608,00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40 608,00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40 608,00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42 241,00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674 047,00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S2100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666 667,00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17 S2100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666 667,00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11 0 18 00000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18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18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10 181 486,03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10 181 486,03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11 0 19 10000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10 181 486,03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4 463 985,00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4 463 985,00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4 463 985,00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18 765 940,80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16 802 240,00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17 697 566,00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1 690 617,00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2 564 343,00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2 543 076,00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1 577 927,00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2 528 476,00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2 499 476,00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112 690,00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35 867,00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43 600,00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9 141 826,80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7 330 091,00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7 817 015,00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8 087 559,00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6 975 606,00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7 191 606,00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1 051 104,80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351 385,00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622 309,00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3 163,00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7 933 497,00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6 907 806,00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7 337 475,00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7 090 118,00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6 730 898,00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6 874 898,00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11 0 31 40000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843 379,00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176 908,00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462 577,00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1 994 484,69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1 994 484,69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1 994 484,69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21 373 135,58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261 969 649,27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24 947 148,27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51390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261 969 649,27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24 947 148,27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51390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261 969 649,27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24 947 148,27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52280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21 170 755,58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52280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21 170 755,58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S2090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202 380,00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11 0 P5 S2090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202 380,00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270 663 787,99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304 969 865,94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292 163 490,53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67 027 325,55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68 076 996,31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67 281 120,00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53 764 091,70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54 444 927,00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55 323 327,00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10 547 797,65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12 913 170,31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8 743 894,00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2 715 436,20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593 899,00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3 088 899,00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64 686 737,37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65 108 189,00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69 783 343,00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59 183 919,77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60 553 802,00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65 283 956,00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5 502 817,60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4 554 387,00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4 499 387,00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164 000,00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104 000,00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1 683 006,17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1 544 683,00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1 544 683,00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1 683 006,17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1 544 683,00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1 544 683,00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1 923 732,00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1 810 997,00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1 810 997,00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1 923 732,00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1 810 997,00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1 810 997,00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Глава МОГО "Ухта" - руководитель администрации МОГО "Ухта"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5 866 551,36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5 996 222,00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6 086 222,00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5 866 551,36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5 996 222,00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6 086 222,00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23 307 645,31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20 428 012,32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21 315 896,53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19 433 022,82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19 076 013,00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19 236 013,00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3 188 698,10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1 311 999,32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2 039 883,53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685 924,39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2 597 615,02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2 597 615,02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FB4D64">
              <w:rPr>
                <w:color w:val="000000"/>
                <w:sz w:val="20"/>
              </w:rPr>
              <w:t>у ООО</w:t>
            </w:r>
            <w:proofErr w:type="gramEnd"/>
            <w:r w:rsidRPr="00FB4D64">
              <w:rPr>
                <w:color w:val="000000"/>
                <w:sz w:val="20"/>
              </w:rPr>
              <w:t xml:space="preserve"> "ЛУКОЙЛ-Коми"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52 828 482,38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61 419 079,31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52 828 482,38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61 419 079,31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6 038 764,46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6 038 764,46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79 709,19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79 709,19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689 635,00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689 635,00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21 130 910,23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21 600 000,00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21 600 000,00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21 130 910,23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21 600 000,00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21 600 000,00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3 445 407,29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3 445 407,29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5 000 000,00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962 519,66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99 0 00 00130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962 519,66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493 787,00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49 329,00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75 800,00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493 787,00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49 329,00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lastRenderedPageBreak/>
              <w:t>Проведение Всероссийской переписи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99 0 00 54690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1 617 047,00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99 0 00 54690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1 617 047,00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13 656 100,00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13 656 100,00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13 656 100,00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13 215 493,39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13 186 100,00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13 186 100,00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440 606,61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470 000,00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46 800,00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33 800,00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99 0 00 73150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13 000,00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99 0 00 99990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39 625 000,00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83 825 000,00</w:t>
            </w:r>
          </w:p>
        </w:tc>
      </w:tr>
      <w:tr w:rsidR="00D24182" w:rsidRPr="00FB4D64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99 0 00 99990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39 625 000,00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B4D64">
              <w:rPr>
                <w:color w:val="000000"/>
                <w:sz w:val="20"/>
              </w:rPr>
              <w:t>83 825 000,00</w:t>
            </w:r>
          </w:p>
        </w:tc>
      </w:tr>
      <w:tr w:rsidR="00D24182" w:rsidRPr="006E6008" w:rsidTr="00875FB9">
        <w:trPr>
          <w:cantSplit/>
          <w:trHeight w:val="25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057F35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182" w:rsidRPr="00FB4D64" w:rsidRDefault="00D24182" w:rsidP="00875F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6E6008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4 696 358 </w:t>
            </w:r>
            <w:r w:rsidRPr="006E6008">
              <w:rPr>
                <w:b/>
                <w:color w:val="000000"/>
                <w:sz w:val="20"/>
              </w:rPr>
              <w:t>670,94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6E6008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4 206 900 </w:t>
            </w:r>
            <w:r w:rsidRPr="006E6008">
              <w:rPr>
                <w:b/>
                <w:color w:val="000000"/>
                <w:sz w:val="20"/>
              </w:rPr>
              <w:t>019,97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182" w:rsidRPr="006E6008" w:rsidRDefault="00D24182" w:rsidP="00875F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4 101 584 </w:t>
            </w:r>
            <w:r w:rsidRPr="006E6008">
              <w:rPr>
                <w:b/>
                <w:color w:val="000000"/>
                <w:sz w:val="20"/>
              </w:rPr>
              <w:t>357,25</w:t>
            </w:r>
          </w:p>
        </w:tc>
      </w:tr>
    </w:tbl>
    <w:p w:rsidR="0013712F" w:rsidRPr="00B80486" w:rsidRDefault="0013712F" w:rsidP="00E42758">
      <w:pPr>
        <w:tabs>
          <w:tab w:val="right" w:pos="10205"/>
        </w:tabs>
        <w:jc w:val="left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13712F" w:rsidRPr="00B80486" w:rsidSect="00D24182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AB" w:rsidRDefault="000C05AB" w:rsidP="0046515C">
      <w:r>
        <w:separator/>
      </w:r>
    </w:p>
  </w:endnote>
  <w:endnote w:type="continuationSeparator" w:id="0">
    <w:p w:rsidR="000C05AB" w:rsidRDefault="000C05AB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AB" w:rsidRDefault="000C05AB" w:rsidP="0046515C">
      <w:r>
        <w:separator/>
      </w:r>
    </w:p>
  </w:footnote>
  <w:footnote w:type="continuationSeparator" w:id="0">
    <w:p w:rsidR="000C05AB" w:rsidRDefault="000C05AB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3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05AB"/>
    <w:rsid w:val="000C55F7"/>
    <w:rsid w:val="001054C1"/>
    <w:rsid w:val="00131F35"/>
    <w:rsid w:val="0013712F"/>
    <w:rsid w:val="00137149"/>
    <w:rsid w:val="001B6331"/>
    <w:rsid w:val="001D1BB2"/>
    <w:rsid w:val="0022745A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C656A"/>
    <w:rsid w:val="002D3733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32B67"/>
    <w:rsid w:val="00765134"/>
    <w:rsid w:val="0077015E"/>
    <w:rsid w:val="0077479F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E6EF7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76CC8"/>
    <w:rsid w:val="00A84556"/>
    <w:rsid w:val="00A866C0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37B2B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42758"/>
    <w:rsid w:val="00E54C3D"/>
    <w:rsid w:val="00E86BA7"/>
    <w:rsid w:val="00EC48CF"/>
    <w:rsid w:val="00EC7364"/>
    <w:rsid w:val="00EE1729"/>
    <w:rsid w:val="00EE4F7C"/>
    <w:rsid w:val="00F04095"/>
    <w:rsid w:val="00F153B1"/>
    <w:rsid w:val="00F2318C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11393</Words>
  <Characters>64945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3</cp:revision>
  <cp:lastPrinted>2021-11-23T13:27:00Z</cp:lastPrinted>
  <dcterms:created xsi:type="dcterms:W3CDTF">2021-12-23T12:36:00Z</dcterms:created>
  <dcterms:modified xsi:type="dcterms:W3CDTF">2021-12-23T13:43:00Z</dcterms:modified>
</cp:coreProperties>
</file>